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50B28" w14:textId="77777777" w:rsidR="00604196" w:rsidRDefault="00604196" w:rsidP="00604196">
      <w:pPr>
        <w:spacing w:after="0" w:line="240" w:lineRule="auto"/>
      </w:pPr>
    </w:p>
    <w:p w14:paraId="7BE9E6CD" w14:textId="77777777" w:rsidR="00604196" w:rsidRPr="00E1395E" w:rsidRDefault="00604196" w:rsidP="00604196">
      <w:pPr>
        <w:pStyle w:val="Rubrik1"/>
        <w:rPr>
          <w:sz w:val="32"/>
          <w:szCs w:val="12"/>
        </w:rPr>
      </w:pPr>
      <w:r w:rsidRPr="00E1395E">
        <w:rPr>
          <w:sz w:val="32"/>
          <w:szCs w:val="12"/>
        </w:rPr>
        <w:t xml:space="preserve">Till </w:t>
      </w:r>
      <w:r w:rsidR="00F13512" w:rsidRPr="00E1395E">
        <w:rPr>
          <w:sz w:val="32"/>
          <w:szCs w:val="12"/>
        </w:rPr>
        <w:t>d</w:t>
      </w:r>
      <w:r w:rsidRPr="00E1395E">
        <w:rPr>
          <w:sz w:val="32"/>
          <w:szCs w:val="12"/>
        </w:rPr>
        <w:t>ig som bor på Lindgårdens särskilda boende</w:t>
      </w:r>
    </w:p>
    <w:p w14:paraId="57484E8B" w14:textId="6CF621D5" w:rsidR="00AB7E4C" w:rsidRDefault="00604196" w:rsidP="00604196">
      <w:pPr>
        <w:pStyle w:val="Brdtext"/>
      </w:pPr>
      <w:r w:rsidRPr="00E22EAB">
        <w:t xml:space="preserve">Du har nyligen fått information från Lindgårdens styrelse om att de inte har tillstånd att bedriva </w:t>
      </w:r>
      <w:r w:rsidRPr="00AB7E4C">
        <w:rPr>
          <w:i/>
          <w:iCs/>
        </w:rPr>
        <w:t>särskilt boende</w:t>
      </w:r>
      <w:r w:rsidRPr="00E22EAB">
        <w:t xml:space="preserve"> och att de därför kommer att ändra inriktning </w:t>
      </w:r>
      <w:r>
        <w:t xml:space="preserve">för Lindgården </w:t>
      </w:r>
      <w:r w:rsidRPr="00E22EAB">
        <w:t xml:space="preserve">till att bli ett </w:t>
      </w:r>
      <w:r w:rsidRPr="00AB7E4C">
        <w:rPr>
          <w:i/>
          <w:iCs/>
        </w:rPr>
        <w:t>trygghetsboend</w:t>
      </w:r>
      <w:r w:rsidRPr="00E22EAB">
        <w:t>e.</w:t>
      </w:r>
      <w:r>
        <w:t xml:space="preserve"> </w:t>
      </w:r>
      <w:r w:rsidR="00F13512">
        <w:t xml:space="preserve">Du som bor på Lindgården har beslut om </w:t>
      </w:r>
      <w:r w:rsidR="00F13512" w:rsidRPr="00AF00A6">
        <w:rPr>
          <w:i/>
          <w:iCs/>
        </w:rPr>
        <w:t>särskilt boende</w:t>
      </w:r>
      <w:r w:rsidR="00F13512">
        <w:t xml:space="preserve"> </w:t>
      </w:r>
      <w:r w:rsidR="00AF00A6">
        <w:t>enligt socialtjänstlagen</w:t>
      </w:r>
      <w:r w:rsidR="00446A1E">
        <w:t>. D</w:t>
      </w:r>
      <w:r w:rsidR="00F13512">
        <w:t xml:space="preserve">ärför </w:t>
      </w:r>
      <w:r w:rsidR="00446A1E">
        <w:t xml:space="preserve">har du </w:t>
      </w:r>
      <w:r w:rsidR="00F13512">
        <w:t>rätt att få</w:t>
      </w:r>
      <w:r w:rsidR="00AF00A6" w:rsidRPr="00E22EAB">
        <w:t xml:space="preserve"> dina behov av trygghet och </w:t>
      </w:r>
      <w:r w:rsidR="00AF00A6">
        <w:t>omvårdnad tillgodose</w:t>
      </w:r>
      <w:r w:rsidR="00E1395E">
        <w:t>dda</w:t>
      </w:r>
      <w:r w:rsidR="00AF00A6">
        <w:t xml:space="preserve"> på ett </w:t>
      </w:r>
      <w:r w:rsidR="00AF00A6" w:rsidRPr="00E1395E">
        <w:rPr>
          <w:i/>
          <w:iCs/>
        </w:rPr>
        <w:t>särskilt boende</w:t>
      </w:r>
      <w:r w:rsidR="00AF00A6">
        <w:t xml:space="preserve"> i kommunen, </w:t>
      </w:r>
      <w:r w:rsidR="00AF00A6" w:rsidRPr="00E22EAB">
        <w:t>som har tillstånd att bedriva sådan verksamhet</w:t>
      </w:r>
      <w:r w:rsidR="00AF00A6">
        <w:t xml:space="preserve">. </w:t>
      </w:r>
      <w:r w:rsidR="003B596F">
        <w:t xml:space="preserve">De olika boendeformerna innebär olika mycket stöd och hjälp och dina behov utgör grund för vilken boendeform som passar bäst för just dig.  </w:t>
      </w:r>
    </w:p>
    <w:p w14:paraId="0BF9FEF2" w14:textId="77777777" w:rsidR="00AB7E4C" w:rsidRDefault="00AB7E4C" w:rsidP="00AB7E4C">
      <w:pPr>
        <w:pStyle w:val="Rubrik2"/>
      </w:pPr>
      <w:r>
        <w:t>Att bo på särskilt boende</w:t>
      </w:r>
    </w:p>
    <w:p w14:paraId="10B6323B" w14:textId="77777777" w:rsidR="00AB7E4C" w:rsidRDefault="00AB7E4C" w:rsidP="00604196">
      <w:pPr>
        <w:pStyle w:val="Brdtext"/>
      </w:pPr>
      <w:r>
        <w:t xml:space="preserve">Att bo på ett </w:t>
      </w:r>
      <w:r w:rsidRPr="003B596F">
        <w:rPr>
          <w:i/>
          <w:iCs/>
        </w:rPr>
        <w:t>särskilt boende</w:t>
      </w:r>
      <w:r>
        <w:t xml:space="preserve"> innebär att du har en lägenhet på ett särskilt boende och att du får </w:t>
      </w:r>
      <w:r w:rsidR="003B596F">
        <w:t xml:space="preserve">den hjälp och det </w:t>
      </w:r>
      <w:r>
        <w:t xml:space="preserve">stöd </w:t>
      </w:r>
      <w:r w:rsidR="003B596F">
        <w:t xml:space="preserve">du behöver </w:t>
      </w:r>
      <w:r>
        <w:t>dygnet runt.</w:t>
      </w:r>
      <w:r w:rsidR="003B596F">
        <w:t xml:space="preserve"> </w:t>
      </w:r>
      <w:r>
        <w:t xml:space="preserve">Du har tillgång till </w:t>
      </w:r>
      <w:r w:rsidRPr="00E22EAB">
        <w:t>personal i nära anslutning till din lägenhet</w:t>
      </w:r>
      <w:r>
        <w:t>, precis på samma sätt som du har idag.</w:t>
      </w:r>
    </w:p>
    <w:p w14:paraId="38B1AA45" w14:textId="77777777" w:rsidR="00AB7E4C" w:rsidRDefault="00AB7E4C" w:rsidP="00E1395E">
      <w:pPr>
        <w:pStyle w:val="Rubrik2"/>
      </w:pPr>
      <w:r>
        <w:t>Att bo på trygghetsboende</w:t>
      </w:r>
    </w:p>
    <w:p w14:paraId="12DDF2AF" w14:textId="7B453F15" w:rsidR="00801950" w:rsidRDefault="00AB7E4C" w:rsidP="00FC31EE">
      <w:pPr>
        <w:pStyle w:val="Brdtext"/>
      </w:pPr>
      <w:r>
        <w:t>Att bo på ett</w:t>
      </w:r>
      <w:r w:rsidR="00604196">
        <w:t xml:space="preserve"> </w:t>
      </w:r>
      <w:r w:rsidR="00604196" w:rsidRPr="00E22EAB">
        <w:rPr>
          <w:i/>
        </w:rPr>
        <w:t>trygghetsboende</w:t>
      </w:r>
      <w:r w:rsidR="00604196">
        <w:rPr>
          <w:i/>
        </w:rPr>
        <w:t xml:space="preserve">, </w:t>
      </w:r>
      <w:r w:rsidR="00604196" w:rsidRPr="00E22EAB">
        <w:t xml:space="preserve">innebär </w:t>
      </w:r>
      <w:r>
        <w:t>att du har en</w:t>
      </w:r>
      <w:r w:rsidR="00604196">
        <w:t xml:space="preserve"> lägenhet </w:t>
      </w:r>
      <w:r>
        <w:t xml:space="preserve">på ett </w:t>
      </w:r>
      <w:r w:rsidRPr="00B8467C">
        <w:rPr>
          <w:i/>
          <w:iCs/>
        </w:rPr>
        <w:t xml:space="preserve">trygghetsboende </w:t>
      </w:r>
      <w:r>
        <w:t xml:space="preserve">och att du </w:t>
      </w:r>
      <w:r w:rsidR="00604196">
        <w:t xml:space="preserve">får </w:t>
      </w:r>
      <w:r w:rsidR="00604196" w:rsidRPr="00E22EAB">
        <w:t>ansök</w:t>
      </w:r>
      <w:r w:rsidR="00604196">
        <w:t>a</w:t>
      </w:r>
      <w:r w:rsidR="00604196" w:rsidRPr="00E22EAB">
        <w:t xml:space="preserve"> om hjälp och stöd enligt socialtjänstlagen. Den hjälp du ansöker om utreds utifrån dina behov och du beviljas hemtjänstinsatser</w:t>
      </w:r>
      <w:r w:rsidR="00604196">
        <w:t xml:space="preserve"> utifrån de behov du har.</w:t>
      </w:r>
      <w:r w:rsidR="00604196" w:rsidRPr="00E22EAB">
        <w:t xml:space="preserve"> På ett </w:t>
      </w:r>
      <w:r w:rsidR="00604196" w:rsidRPr="00B8467C">
        <w:rPr>
          <w:i/>
          <w:iCs/>
        </w:rPr>
        <w:t>trygghetsboende</w:t>
      </w:r>
      <w:r w:rsidR="00604196" w:rsidRPr="00E22EAB">
        <w:t xml:space="preserve"> finns inte tillgång till personal under dygnets alla timmar </w:t>
      </w:r>
      <w:r w:rsidR="00604196">
        <w:t>som på</w:t>
      </w:r>
      <w:r w:rsidR="00604196" w:rsidRPr="00E22EAB">
        <w:t xml:space="preserve"> ett särskilt boende. Istället är det hemtjänst och patrull som</w:t>
      </w:r>
      <w:r w:rsidR="00F13512">
        <w:t xml:space="preserve"> </w:t>
      </w:r>
      <w:r w:rsidR="00604196" w:rsidRPr="00E22EAB">
        <w:t>utför de</w:t>
      </w:r>
      <w:r w:rsidR="00F13512">
        <w:t>ssa</w:t>
      </w:r>
      <w:r w:rsidR="00604196" w:rsidRPr="00E22EAB">
        <w:t xml:space="preserve"> insatser. Hemtjänst</w:t>
      </w:r>
      <w:r w:rsidR="00446A1E">
        <w:t>en</w:t>
      </w:r>
      <w:r w:rsidR="00604196" w:rsidRPr="00E22EAB">
        <w:t xml:space="preserve"> </w:t>
      </w:r>
      <w:r w:rsidR="00446A1E">
        <w:t xml:space="preserve">hjälper dig </w:t>
      </w:r>
      <w:r w:rsidR="00604196" w:rsidRPr="00E22EAB">
        <w:t xml:space="preserve">med punktinsatser under </w:t>
      </w:r>
      <w:r w:rsidR="00446A1E">
        <w:t>d</w:t>
      </w:r>
      <w:r w:rsidR="008D3119">
        <w:t>agtid</w:t>
      </w:r>
      <w:r w:rsidR="00B8467C">
        <w:t>, exempelvis dusch, tvätt, städ</w:t>
      </w:r>
      <w:r w:rsidR="00446A1E">
        <w:t>,</w:t>
      </w:r>
      <w:r w:rsidR="000354CC">
        <w:t xml:space="preserve"> </w:t>
      </w:r>
      <w:r w:rsidR="00446A1E">
        <w:t xml:space="preserve">inköp och </w:t>
      </w:r>
      <w:r w:rsidR="000354CC">
        <w:t>tillsyn</w:t>
      </w:r>
      <w:r w:rsidR="00B8467C">
        <w:t xml:space="preserve">. </w:t>
      </w:r>
      <w:r w:rsidR="00446A1E">
        <w:t xml:space="preserve">Du kan få hjälp av hemtjänsten med att handla den mat du behöver och din mat lagas och äts i din lägenhet, om du inte väljer att äta i den restaurang som finns på </w:t>
      </w:r>
      <w:r w:rsidR="00446A1E" w:rsidRPr="00B8467C">
        <w:rPr>
          <w:i/>
          <w:iCs/>
        </w:rPr>
        <w:t>trygghetsboendet</w:t>
      </w:r>
      <w:r w:rsidR="00446A1E">
        <w:t xml:space="preserve">. </w:t>
      </w:r>
      <w:r w:rsidR="00B8467C">
        <w:t>Har du trygghetslarm</w:t>
      </w:r>
      <w:r w:rsidR="000354CC">
        <w:t xml:space="preserve"> eller tillsyn</w:t>
      </w:r>
      <w:r w:rsidR="00D77FA5">
        <w:t xml:space="preserve"> på natten</w:t>
      </w:r>
      <w:r w:rsidR="00B8467C">
        <w:t>, så är det p</w:t>
      </w:r>
      <w:r w:rsidR="008D3119">
        <w:t xml:space="preserve">atrullen </w:t>
      </w:r>
      <w:r w:rsidR="00B8467C">
        <w:t>som utför dessa insatser</w:t>
      </w:r>
      <w:r w:rsidR="008D3119">
        <w:t xml:space="preserve">. </w:t>
      </w:r>
      <w:r w:rsidR="00D77FA5">
        <w:t>D</w:t>
      </w:r>
      <w:r w:rsidR="000354CC">
        <w:t xml:space="preserve">e </w:t>
      </w:r>
      <w:r w:rsidR="00F13512">
        <w:t>kommer till trygghetsboendet när de har insatser att utföra.</w:t>
      </w:r>
      <w:r w:rsidR="008D3119">
        <w:t xml:space="preserve"> </w:t>
      </w:r>
      <w:r w:rsidR="00D77FA5">
        <w:t>I övrigt finns hemtjänstpersonal i nära anslutning till Lindgården.</w:t>
      </w:r>
    </w:p>
    <w:p w14:paraId="67B3E057" w14:textId="77777777" w:rsidR="00AF00A6" w:rsidRPr="00AB7E4C" w:rsidRDefault="00AF00A6" w:rsidP="00AF00A6">
      <w:pPr>
        <w:pStyle w:val="Rubrik2"/>
        <w:rPr>
          <w:iCs/>
        </w:rPr>
      </w:pPr>
      <w:r>
        <w:t>Dina behov styr boendeform</w:t>
      </w:r>
    </w:p>
    <w:p w14:paraId="7AB24F5B" w14:textId="77777777" w:rsidR="00AF00A6" w:rsidRDefault="00AF00A6" w:rsidP="00AF00A6">
      <w:pPr>
        <w:pStyle w:val="Brdtext"/>
      </w:pPr>
      <w:r w:rsidRPr="00E22EAB">
        <w:t xml:space="preserve">Om dina behov av hjälp och stöd är av omfattande karaktär och du behöver insatser dygnet runt är </w:t>
      </w:r>
      <w:r w:rsidRPr="00F13512">
        <w:rPr>
          <w:i/>
          <w:iCs/>
        </w:rPr>
        <w:t>särskilt boende</w:t>
      </w:r>
      <w:r w:rsidRPr="00E22EAB">
        <w:t xml:space="preserve"> den boendeform som bäst tillgodoser dina behov.</w:t>
      </w:r>
      <w:r>
        <w:t xml:space="preserve"> D</w:t>
      </w:r>
      <w:r w:rsidRPr="00E22EAB">
        <w:t xml:space="preserve">ärför </w:t>
      </w:r>
      <w:r>
        <w:t xml:space="preserve">har du </w:t>
      </w:r>
      <w:r w:rsidRPr="00E22EAB">
        <w:t xml:space="preserve">möjlighet att lämna önskemål om lägenhet på annat </w:t>
      </w:r>
      <w:r w:rsidRPr="00E1395E">
        <w:rPr>
          <w:i/>
          <w:iCs/>
        </w:rPr>
        <w:t>särskilt boende</w:t>
      </w:r>
      <w:r w:rsidRPr="00E22EAB">
        <w:t xml:space="preserve"> i kommunen</w:t>
      </w:r>
      <w:r w:rsidR="008D3119">
        <w:t xml:space="preserve"> </w:t>
      </w:r>
      <w:r w:rsidR="008D3119" w:rsidRPr="008D3119">
        <w:t>och vi ska göra vad vi kan för att tillgodose dina önskemål.</w:t>
      </w:r>
      <w:r>
        <w:t xml:space="preserve"> </w:t>
      </w:r>
      <w:r w:rsidRPr="00E22EAB">
        <w:t xml:space="preserve">Du kan också välja att avsäga dig beslutet om </w:t>
      </w:r>
      <w:r w:rsidRPr="00E1395E">
        <w:rPr>
          <w:i/>
          <w:iCs/>
        </w:rPr>
        <w:t>särskilt boende</w:t>
      </w:r>
      <w:r w:rsidRPr="00E22EAB">
        <w:t xml:space="preserve"> och istället</w:t>
      </w:r>
      <w:r>
        <w:t xml:space="preserve"> bo kvar på Lindgården</w:t>
      </w:r>
      <w:r w:rsidRPr="00E22EAB">
        <w:t xml:space="preserve"> </w:t>
      </w:r>
      <w:r>
        <w:t xml:space="preserve">och </w:t>
      </w:r>
      <w:r w:rsidRPr="00E22EAB">
        <w:t>ansöka om hemtjänst. Utifrån dina behov kan din ansökan bifallas eller avslås.</w:t>
      </w:r>
    </w:p>
    <w:p w14:paraId="259B4986" w14:textId="22B9085B" w:rsidR="00AF00A6" w:rsidRDefault="00AF00A6" w:rsidP="00AF00A6">
      <w:pPr>
        <w:pStyle w:val="Brdtext"/>
      </w:pPr>
      <w:r w:rsidRPr="00E22EAB">
        <w:t xml:space="preserve">En biståndshandläggare kommer ta kontakt med dig </w:t>
      </w:r>
      <w:r>
        <w:t xml:space="preserve">under mars månad </w:t>
      </w:r>
      <w:r w:rsidRPr="00E22EAB">
        <w:t xml:space="preserve">för fortsatt samtal kring ditt </w:t>
      </w:r>
      <w:r>
        <w:t>framtida boende</w:t>
      </w:r>
      <w:r w:rsidRPr="00E22EAB">
        <w:t xml:space="preserve">. </w:t>
      </w:r>
      <w:r w:rsidR="00B8467C">
        <w:t>I de</w:t>
      </w:r>
      <w:r w:rsidR="00446A1E">
        <w:t>t</w:t>
      </w:r>
      <w:r w:rsidR="00B8467C">
        <w:t xml:space="preserve"> fall en flytt blir aktuell för dig, så ansvarar Lindgården och Jönköpings kommun för hela flytten, både praktiskt och ekonomiskt. </w:t>
      </w:r>
      <w:r>
        <w:t>Vid samtalet får du gärna ha med någon närstående, det avgör du själv.</w:t>
      </w:r>
    </w:p>
    <w:p w14:paraId="51607012" w14:textId="69774258" w:rsidR="00AC4704" w:rsidRPr="00AC4704" w:rsidRDefault="00BC4BB6" w:rsidP="00BC4BB6">
      <w:pPr>
        <w:pStyle w:val="Rubrik2"/>
      </w:pPr>
      <w:r>
        <w:lastRenderedPageBreak/>
        <w:t>V</w:t>
      </w:r>
      <w:r w:rsidR="00AC4704" w:rsidRPr="00AC4704">
        <w:t>id frågor</w:t>
      </w:r>
      <w:r>
        <w:t>, kontakta</w:t>
      </w:r>
      <w:r w:rsidR="00AC4704" w:rsidRPr="00AC4704">
        <w:t>:</w:t>
      </w:r>
    </w:p>
    <w:p w14:paraId="2237FBF3" w14:textId="555D9E8B" w:rsidR="00AC4704" w:rsidRDefault="00AC4704" w:rsidP="00AC4704">
      <w:r w:rsidRPr="00BC4BB6">
        <w:rPr>
          <w:b/>
          <w:bCs/>
        </w:rPr>
        <w:t>Maritha Bogren</w:t>
      </w:r>
      <w:r>
        <w:t xml:space="preserve"> </w:t>
      </w:r>
      <w:r w:rsidR="00BC4BB6">
        <w:br/>
        <w:t>V</w:t>
      </w:r>
      <w:r>
        <w:t xml:space="preserve">erksamhetschef </w:t>
      </w:r>
      <w:r w:rsidR="00446A1E">
        <w:t xml:space="preserve">på </w:t>
      </w:r>
      <w:r>
        <w:t xml:space="preserve">Lindgårdens äldreboende </w:t>
      </w:r>
      <w:r w:rsidR="00BC4BB6">
        <w:br/>
      </w:r>
      <w:r w:rsidR="00446A1E">
        <w:t xml:space="preserve">Telefon: </w:t>
      </w:r>
      <w:r>
        <w:t>036-4404875</w:t>
      </w:r>
      <w:r w:rsidR="00BC4BB6">
        <w:br/>
      </w:r>
      <w:r w:rsidR="00446A1E">
        <w:t xml:space="preserve">Mejladress: </w:t>
      </w:r>
      <w:hyperlink r:id="rId8" w:history="1">
        <w:r w:rsidR="00446A1E" w:rsidRPr="0030254B">
          <w:rPr>
            <w:rStyle w:val="Hyperlnk"/>
          </w:rPr>
          <w:t>marita.bogren@lindgarden-jkpg.se</w:t>
        </w:r>
      </w:hyperlink>
    </w:p>
    <w:p w14:paraId="1CD2D810" w14:textId="1DEFC3E2" w:rsidR="00BC4BB6" w:rsidRDefault="00BC4BB6" w:rsidP="00BC4BB6">
      <w:r w:rsidRPr="00BC4BB6">
        <w:rPr>
          <w:b/>
          <w:bCs/>
        </w:rPr>
        <w:t>Annica Sandström</w:t>
      </w:r>
      <w:r>
        <w:t xml:space="preserve"> </w:t>
      </w:r>
      <w:r>
        <w:br/>
        <w:t>Arbetsterapeut på Lindgårdens äldreboende</w:t>
      </w:r>
      <w:r>
        <w:br/>
        <w:t>Telefon: 036-4404873</w:t>
      </w:r>
      <w:r>
        <w:br/>
        <w:t xml:space="preserve">Mejladress: </w:t>
      </w:r>
      <w:hyperlink r:id="rId9" w:history="1">
        <w:r w:rsidRPr="0030254B">
          <w:rPr>
            <w:rStyle w:val="Hyperlnk"/>
          </w:rPr>
          <w:t>annica.sandstrom@lindgarden-jkpg.se</w:t>
        </w:r>
      </w:hyperlink>
    </w:p>
    <w:p w14:paraId="58C94E2D" w14:textId="2D4F9A55" w:rsidR="00AC4704" w:rsidRDefault="00446A1E" w:rsidP="00AC4704">
      <w:r>
        <w:t xml:space="preserve">Webbsida: </w:t>
      </w:r>
      <w:hyperlink r:id="rId10" w:history="1">
        <w:r w:rsidRPr="0030254B">
          <w:rPr>
            <w:rStyle w:val="Hyperlnk"/>
          </w:rPr>
          <w:t>http://www.lindgarden-jkpg.se</w:t>
        </w:r>
      </w:hyperlink>
      <w:r w:rsidR="00AC4704">
        <w:t xml:space="preserve"> </w:t>
      </w:r>
    </w:p>
    <w:p w14:paraId="3DC8F754" w14:textId="77777777" w:rsidR="00AC4704" w:rsidRPr="00E22EAB" w:rsidRDefault="00AC4704" w:rsidP="00AF00A6">
      <w:pPr>
        <w:pStyle w:val="Brdtext"/>
      </w:pPr>
    </w:p>
    <w:p w14:paraId="61C52954" w14:textId="00EAF9FA" w:rsidR="00AF00A6" w:rsidRPr="00446A1E" w:rsidRDefault="00AF00A6" w:rsidP="00FC31EE">
      <w:pPr>
        <w:pStyle w:val="Brdtext"/>
        <w:rPr>
          <w:i/>
          <w:iCs/>
          <w:sz w:val="24"/>
          <w:szCs w:val="24"/>
        </w:rPr>
      </w:pPr>
      <w:r w:rsidRPr="00BC4BB6">
        <w:rPr>
          <w:i/>
          <w:iCs/>
          <w:sz w:val="24"/>
          <w:szCs w:val="24"/>
        </w:rPr>
        <w:t xml:space="preserve">Hälsningar </w:t>
      </w:r>
      <w:r w:rsidR="00BC4BB6">
        <w:rPr>
          <w:sz w:val="24"/>
          <w:szCs w:val="24"/>
        </w:rPr>
        <w:br/>
      </w:r>
      <w:r w:rsidRPr="00BC4BB6">
        <w:rPr>
          <w:sz w:val="24"/>
          <w:szCs w:val="24"/>
        </w:rPr>
        <w:t>Camilla Johansson</w:t>
      </w:r>
      <w:r w:rsidR="00BC4BB6">
        <w:rPr>
          <w:i/>
          <w:iCs/>
          <w:sz w:val="24"/>
          <w:szCs w:val="24"/>
        </w:rPr>
        <w:br/>
        <w:t>Ä</w:t>
      </w:r>
      <w:r w:rsidRPr="00446A1E">
        <w:rPr>
          <w:i/>
          <w:iCs/>
          <w:sz w:val="24"/>
          <w:szCs w:val="24"/>
        </w:rPr>
        <w:t>ldreomsorgschef i Jönköpings kommun</w:t>
      </w:r>
    </w:p>
    <w:sectPr w:rsidR="00AF00A6" w:rsidRPr="00446A1E" w:rsidSect="00E1395E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418" w:right="2268" w:bottom="851" w:left="2268" w:header="720" w:footer="0" w:gutter="0"/>
      <w:paperSrc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E75D" w14:textId="77777777" w:rsidR="00235638" w:rsidRDefault="00235638">
      <w:pPr>
        <w:spacing w:after="0" w:line="240" w:lineRule="auto"/>
      </w:pPr>
      <w:r>
        <w:separator/>
      </w:r>
    </w:p>
  </w:endnote>
  <w:endnote w:type="continuationSeparator" w:id="0">
    <w:p w14:paraId="5492BDB5" w14:textId="77777777" w:rsidR="00235638" w:rsidRDefault="002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2525" w14:textId="77777777" w:rsidR="008069DA" w:rsidRDefault="002558E5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DC665" w14:textId="77777777" w:rsidR="0051676C" w:rsidRDefault="00235638" w:rsidP="0020139B">
    <w:pPr>
      <w:pStyle w:val="Sidfot"/>
      <w:tabs>
        <w:tab w:val="clear" w:pos="1985"/>
        <w:tab w:val="clear" w:pos="3402"/>
        <w:tab w:val="clear" w:pos="5812"/>
        <w:tab w:val="clear" w:pos="7939"/>
        <w:tab w:val="clear" w:pos="8789"/>
      </w:tabs>
      <w:spacing w:before="360"/>
      <w:ind w:left="-1440" w:right="136"/>
    </w:pPr>
  </w:p>
  <w:p w14:paraId="46710428" w14:textId="77777777" w:rsidR="0051676C" w:rsidRDefault="002558E5" w:rsidP="00AD33EF">
    <w:pPr>
      <w:pStyle w:val="Sidfot"/>
      <w:tabs>
        <w:tab w:val="clear" w:pos="1985"/>
        <w:tab w:val="clear" w:pos="3402"/>
        <w:tab w:val="clear" w:pos="5812"/>
        <w:tab w:val="clear" w:pos="7939"/>
        <w:tab w:val="clear" w:pos="8789"/>
      </w:tabs>
      <w:ind w:left="-1652" w:right="-429"/>
    </w:pPr>
    <w:r>
      <w:rPr>
        <w:noProof/>
      </w:rPr>
      <w:drawing>
        <wp:inline distT="0" distB="0" distL="0" distR="0" wp14:anchorId="45D27035" wp14:editId="352781FD">
          <wp:extent cx="6774815" cy="113065"/>
          <wp:effectExtent l="0" t="0" r="6985" b="127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745" cy="114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948EC" w14:textId="77777777" w:rsidR="0051676C" w:rsidRPr="00FC542D" w:rsidRDefault="00235638" w:rsidP="0051676C">
    <w:pPr>
      <w:pStyle w:val="Sidfot"/>
      <w:tabs>
        <w:tab w:val="clear" w:pos="1985"/>
        <w:tab w:val="clear" w:pos="3402"/>
        <w:tab w:val="clear" w:pos="5812"/>
        <w:tab w:val="clear" w:pos="7939"/>
        <w:tab w:val="clear" w:pos="8789"/>
      </w:tabs>
      <w:ind w:left="-142" w:right="-429"/>
      <w:rPr>
        <w:sz w:val="2"/>
      </w:rPr>
    </w:pPr>
  </w:p>
  <w:tbl>
    <w:tblPr>
      <w:tblStyle w:val="Tabellrutnt"/>
      <w:tblW w:w="11058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"/>
      <w:gridCol w:w="7626"/>
      <w:gridCol w:w="3119"/>
    </w:tblGrid>
    <w:tr w:rsidR="007A7936" w14:paraId="392BE083" w14:textId="77777777" w:rsidTr="00AF3E31">
      <w:trPr>
        <w:trHeight w:val="435"/>
      </w:trPr>
      <w:tc>
        <w:tcPr>
          <w:tcW w:w="313" w:type="dxa"/>
        </w:tcPr>
        <w:p w14:paraId="772F7021" w14:textId="77777777" w:rsidR="007A7936" w:rsidRDefault="00235638" w:rsidP="007A7936">
          <w:pPr>
            <w:pStyle w:val="Sidfot"/>
            <w:ind w:right="-1106"/>
          </w:pPr>
        </w:p>
      </w:tc>
      <w:tc>
        <w:tcPr>
          <w:tcW w:w="7626" w:type="dxa"/>
          <w:vAlign w:val="center"/>
        </w:tcPr>
        <w:p w14:paraId="71ED9F7E" w14:textId="77777777" w:rsidR="0020139B" w:rsidRPr="0020139B" w:rsidRDefault="00235638" w:rsidP="00AF3E31">
          <w:pPr>
            <w:pStyle w:val="Sidfot"/>
            <w:tabs>
              <w:tab w:val="clear" w:pos="1985"/>
              <w:tab w:val="clear" w:pos="3402"/>
              <w:tab w:val="clear" w:pos="5812"/>
              <w:tab w:val="clear" w:pos="7939"/>
              <w:tab w:val="clear" w:pos="8789"/>
            </w:tabs>
            <w:ind w:right="-1106"/>
            <w:rPr>
              <w:szCs w:val="22"/>
            </w:rPr>
          </w:pPr>
        </w:p>
        <w:p w14:paraId="440C8834" w14:textId="77777777" w:rsidR="007A7936" w:rsidRPr="00987414" w:rsidRDefault="002558E5" w:rsidP="00AF3E31">
          <w:pPr>
            <w:pStyle w:val="Sidfot"/>
            <w:tabs>
              <w:tab w:val="clear" w:pos="1985"/>
              <w:tab w:val="clear" w:pos="3402"/>
              <w:tab w:val="clear" w:pos="5812"/>
              <w:tab w:val="clear" w:pos="7939"/>
              <w:tab w:val="clear" w:pos="8789"/>
            </w:tabs>
            <w:ind w:right="-1106"/>
            <w:rPr>
              <w:sz w:val="20"/>
              <w:szCs w:val="22"/>
            </w:rPr>
          </w:pPr>
          <w:r w:rsidRPr="00987414">
            <w:rPr>
              <w:b/>
              <w:sz w:val="20"/>
              <w:szCs w:val="22"/>
            </w:rPr>
            <w:t xml:space="preserve">jonkoping.se </w:t>
          </w:r>
          <w:r w:rsidRPr="00987414">
            <w:rPr>
              <w:sz w:val="20"/>
              <w:szCs w:val="22"/>
            </w:rPr>
            <w:t xml:space="preserve"> </w:t>
          </w:r>
        </w:p>
        <w:p w14:paraId="2FD20E3B" w14:textId="77777777" w:rsidR="00AF0765" w:rsidRPr="00AF0765" w:rsidRDefault="00235638" w:rsidP="00AF3E31">
          <w:pPr>
            <w:pStyle w:val="Sidfot"/>
            <w:tabs>
              <w:tab w:val="clear" w:pos="1985"/>
              <w:tab w:val="clear" w:pos="3402"/>
              <w:tab w:val="clear" w:pos="5812"/>
              <w:tab w:val="clear" w:pos="7939"/>
              <w:tab w:val="clear" w:pos="8789"/>
            </w:tabs>
            <w:ind w:right="-344"/>
            <w:rPr>
              <w:szCs w:val="16"/>
            </w:rPr>
          </w:pPr>
        </w:p>
      </w:tc>
      <w:tc>
        <w:tcPr>
          <w:tcW w:w="3119" w:type="dxa"/>
          <w:vAlign w:val="center"/>
        </w:tcPr>
        <w:p w14:paraId="2878B105" w14:textId="77777777" w:rsidR="007A7936" w:rsidRDefault="002558E5" w:rsidP="00DE76FC">
          <w:pPr>
            <w:pStyle w:val="Sidfot"/>
            <w:tabs>
              <w:tab w:val="clear" w:pos="1985"/>
            </w:tabs>
            <w:spacing w:before="20" w:after="20"/>
            <w:ind w:right="302"/>
            <w:jc w:val="right"/>
          </w:pPr>
          <w:r>
            <w:rPr>
              <w:noProof/>
            </w:rPr>
            <w:drawing>
              <wp:inline distT="0" distB="0" distL="0" distR="0" wp14:anchorId="47B28D7E" wp14:editId="27EAF8A9">
                <wp:extent cx="1260000" cy="331492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nkopings kommun logotyp_wor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3314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0D74E" w14:textId="77777777" w:rsidR="007A7936" w:rsidRPr="00FC542D" w:rsidRDefault="00235638" w:rsidP="0020139B">
    <w:pPr>
      <w:pStyle w:val="Sidfot"/>
      <w:tabs>
        <w:tab w:val="clear" w:pos="1985"/>
        <w:tab w:val="clear" w:pos="3402"/>
        <w:tab w:val="clear" w:pos="5812"/>
        <w:tab w:val="clear" w:pos="7939"/>
        <w:tab w:val="clear" w:pos="8789"/>
      </w:tabs>
      <w:spacing w:before="120"/>
      <w:ind w:left="-1440" w:right="-1106"/>
    </w:pPr>
  </w:p>
  <w:p w14:paraId="2F60C3BF" w14:textId="77777777" w:rsidR="008069DA" w:rsidRPr="00243FAF" w:rsidRDefault="00235638" w:rsidP="00243FAF">
    <w:pPr>
      <w:pStyle w:val="Ingetavstnd"/>
      <w:ind w:left="-964" w:right="-1106"/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E894" w14:textId="77777777" w:rsidR="00235638" w:rsidRDefault="00235638">
      <w:pPr>
        <w:spacing w:after="0" w:line="240" w:lineRule="auto"/>
      </w:pPr>
      <w:r>
        <w:separator/>
      </w:r>
    </w:p>
  </w:footnote>
  <w:footnote w:type="continuationSeparator" w:id="0">
    <w:p w14:paraId="2C967CB6" w14:textId="77777777" w:rsidR="00235638" w:rsidRDefault="0023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D725" w14:textId="751A776C" w:rsidR="008069DA" w:rsidRDefault="00BC4BB6" w:rsidP="006E3EAD">
    <w:pPr>
      <w:pStyle w:val="Sidhuvud"/>
      <w:tabs>
        <w:tab w:val="clear" w:pos="8504"/>
        <w:tab w:val="right" w:pos="9781"/>
      </w:tabs>
      <w:ind w:right="-1134"/>
      <w:jc w:val="right"/>
    </w:pPr>
    <w:r>
      <w:rPr>
        <w:i/>
        <w:iCs/>
      </w:rPr>
      <w:t>Sida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A6E69" w14:textId="70AF6D92" w:rsidR="00987414" w:rsidRPr="00E1395E" w:rsidRDefault="00413635" w:rsidP="00BC4BB6">
    <w:pPr>
      <w:pStyle w:val="Sidhuvud"/>
      <w:rPr>
        <w:i/>
        <w:iCs/>
      </w:rPr>
    </w:pPr>
    <w:r>
      <w:rPr>
        <w:i/>
        <w:iCs/>
      </w:rPr>
      <w:t>Socialförvaltningen 2021-03-10</w:t>
    </w:r>
    <w:r w:rsidR="00BC4BB6">
      <w:rPr>
        <w:i/>
        <w:iCs/>
      </w:rPr>
      <w:tab/>
    </w:r>
    <w:r w:rsidR="00BC4BB6">
      <w:rPr>
        <w:i/>
        <w:iCs/>
      </w:rPr>
      <w:tab/>
      <w:t>Sida 1/2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96"/>
    <w:rsid w:val="00006D58"/>
    <w:rsid w:val="00020634"/>
    <w:rsid w:val="000354CC"/>
    <w:rsid w:val="00160616"/>
    <w:rsid w:val="002060E3"/>
    <w:rsid w:val="00235638"/>
    <w:rsid w:val="00253A96"/>
    <w:rsid w:val="002558E5"/>
    <w:rsid w:val="002C6364"/>
    <w:rsid w:val="003B596F"/>
    <w:rsid w:val="00413635"/>
    <w:rsid w:val="00446A1E"/>
    <w:rsid w:val="005475DE"/>
    <w:rsid w:val="00592660"/>
    <w:rsid w:val="005A11A6"/>
    <w:rsid w:val="00604196"/>
    <w:rsid w:val="00607C57"/>
    <w:rsid w:val="0061564A"/>
    <w:rsid w:val="0064274E"/>
    <w:rsid w:val="00734771"/>
    <w:rsid w:val="00801950"/>
    <w:rsid w:val="008060A7"/>
    <w:rsid w:val="0082103A"/>
    <w:rsid w:val="008669B3"/>
    <w:rsid w:val="008D3119"/>
    <w:rsid w:val="0091410D"/>
    <w:rsid w:val="00982DDD"/>
    <w:rsid w:val="009E1783"/>
    <w:rsid w:val="00A17785"/>
    <w:rsid w:val="00AB7E4C"/>
    <w:rsid w:val="00AC4704"/>
    <w:rsid w:val="00AC5C81"/>
    <w:rsid w:val="00AF00A6"/>
    <w:rsid w:val="00B00D0A"/>
    <w:rsid w:val="00B8467C"/>
    <w:rsid w:val="00BC17C1"/>
    <w:rsid w:val="00BC4BB6"/>
    <w:rsid w:val="00CC025C"/>
    <w:rsid w:val="00D77FA5"/>
    <w:rsid w:val="00DF3B8C"/>
    <w:rsid w:val="00E02B43"/>
    <w:rsid w:val="00E1395E"/>
    <w:rsid w:val="00EC765F"/>
    <w:rsid w:val="00F13512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DB3C"/>
  <w15:chartTrackingRefBased/>
  <w15:docId w15:val="{F2A75668-4854-4C3A-808E-E50EC60D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196"/>
    <w:pPr>
      <w:spacing w:after="220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spacing w:after="0"/>
      <w:outlineLvl w:val="2"/>
    </w:pPr>
    <w:rPr>
      <w:rFonts w:ascii="Arial" w:eastAsiaTheme="majorEastAsia" w:hAnsi="Arial" w:cstheme="majorBidi"/>
      <w:b/>
      <w:bCs/>
      <w:color w:val="000000" w:themeColor="text1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spacing w:after="0"/>
      <w:outlineLvl w:val="3"/>
    </w:pPr>
    <w:rPr>
      <w:rFonts w:ascii="Arial" w:eastAsiaTheme="majorEastAsia" w:hAnsi="Arial" w:cstheme="majorBidi"/>
      <w:bCs/>
      <w:iCs/>
      <w:color w:val="000000" w:themeColor="text1"/>
      <w:szCs w:val="22"/>
      <w:lang w:eastAsia="en-US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spacing w:after="0"/>
      <w:outlineLvl w:val="5"/>
    </w:pPr>
    <w:rPr>
      <w:rFonts w:ascii="Arial" w:eastAsiaTheme="majorEastAsia" w:hAnsi="Arial" w:cstheme="majorBidi"/>
      <w:i/>
      <w:iCs/>
      <w:color w:val="000000" w:themeColor="text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  <w:rPr>
      <w:rFonts w:eastAsiaTheme="minorHAnsi" w:cstheme="minorBidi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  <w:rPr>
      <w:rFonts w:eastAsiaTheme="minorHAnsi" w:cstheme="minorBidi"/>
      <w:szCs w:val="22"/>
      <w:lang w:eastAsia="en-US"/>
    </w:r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E02B43"/>
    <w:pPr>
      <w:spacing w:after="0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  <w:spacing w:after="0"/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000000" w:themeColor="text1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Sidfot">
    <w:name w:val="footer"/>
    <w:link w:val="SidfotChar"/>
    <w:uiPriority w:val="99"/>
    <w:rsid w:val="00604196"/>
    <w:pPr>
      <w:tabs>
        <w:tab w:val="left" w:pos="1985"/>
        <w:tab w:val="left" w:pos="3402"/>
        <w:tab w:val="left" w:pos="5812"/>
        <w:tab w:val="left" w:pos="7939"/>
        <w:tab w:val="left" w:pos="8789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04196"/>
    <w:rPr>
      <w:rFonts w:ascii="Arial" w:eastAsia="Times New Roman" w:hAnsi="Arial" w:cs="Times New Roman"/>
      <w:sz w:val="16"/>
      <w:szCs w:val="20"/>
      <w:lang w:eastAsia="sv-SE"/>
    </w:rPr>
  </w:style>
  <w:style w:type="paragraph" w:styleId="Sidhuvud">
    <w:name w:val="header"/>
    <w:basedOn w:val="Normal"/>
    <w:link w:val="SidhuvudChar"/>
    <w:rsid w:val="00604196"/>
    <w:pPr>
      <w:tabs>
        <w:tab w:val="left" w:pos="4252"/>
        <w:tab w:val="right" w:pos="8504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rsid w:val="00604196"/>
    <w:rPr>
      <w:rFonts w:ascii="Arial" w:eastAsia="Times New Roman" w:hAnsi="Arial" w:cs="Times New Roman"/>
      <w:sz w:val="18"/>
      <w:szCs w:val="20"/>
      <w:lang w:eastAsia="sv-SE"/>
    </w:rPr>
  </w:style>
  <w:style w:type="paragraph" w:styleId="Ingetavstnd">
    <w:name w:val="No Spacing"/>
    <w:uiPriority w:val="1"/>
    <w:qFormat/>
    <w:rsid w:val="00604196"/>
    <w:pPr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table" w:styleId="Tabellrutnt">
    <w:name w:val="Table Grid"/>
    <w:basedOn w:val="Normaltabell"/>
    <w:rsid w:val="0060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semiHidden/>
    <w:unhideWhenUsed/>
    <w:rsid w:val="0060419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0419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0419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4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196"/>
    <w:rPr>
      <w:rFonts w:ascii="Segoe UI" w:eastAsia="Times New Roman" w:hAnsi="Segoe UI" w:cs="Segoe UI"/>
      <w:sz w:val="18"/>
      <w:szCs w:val="1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41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419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C4704"/>
    <w:rPr>
      <w:color w:val="0563C1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46A1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C4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a.bogren@lindgarden-jkpg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ndgarden-jkp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ca.sandstrom@lindgarden-jkpg.s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13FC-23D5-4DAF-AF92-14611C4E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 kommun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Desiré Törnqvist</dc:creator>
  <cp:keywords/>
  <dc:description/>
  <cp:lastModifiedBy>Magnus Rydberg</cp:lastModifiedBy>
  <cp:revision>2</cp:revision>
  <dcterms:created xsi:type="dcterms:W3CDTF">2021-03-19T16:14:00Z</dcterms:created>
  <dcterms:modified xsi:type="dcterms:W3CDTF">2021-03-19T16:14:00Z</dcterms:modified>
</cp:coreProperties>
</file>